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pBdr>
          <w:bottom w:val="single" w:sz="8" w:space="1" w:color="0d7377"/>
        </w:pBdr>
      </w:pPr>
    </w:p>
    <w:p>
      <w:pPr>
        <w:spacing w:after="2400"/>
      </w:pPr>
    </w:p>
    <w:p>
      <w:pPr>
        <w:spacing w:after="160"/>
        <w:jc w:val="left"/>
        <w:pBdr>
          <w:bottom w:val="single" w:sz="6" w:space="10" w:color="0d7377"/>
        </w:pBdr>
      </w:pPr>
      <w:r>
        <w:rPr>
          <w:rFonts w:ascii="Inter" w:hAnsi="Inter"/>
          <w:b/>
          <w:color w:val="0D7377"/>
          <w:sz w:val="68"/>
        </w:rPr>
        <w:t>NEXUS</w:t>
      </w:r>
    </w:p>
    <w:p>
      <w:pPr>
        <w:spacing w:before="200"/>
        <w:jc w:val="left"/>
      </w:pPr>
      <w:r>
        <w:rPr>
          <w:rFonts w:ascii="Inter" w:hAnsi="Inter"/>
          <w:color w:val="737373"/>
          <w:sz w:val="28"/>
        </w:rPr>
        <w:t>Brand Identity Guidelines</w:t>
      </w:r>
    </w:p>
    <w:p>
      <w:pPr>
        <w:spacing w:after="3000"/>
      </w:pPr>
    </w:p>
    <w:p>
      <w:pPr>
        <w:spacing w:after="280"/>
        <w:pBdr>
          <w:bottom w:val="single" w:sz="4" w:space="1" w:color="BFBFBF"/>
        </w:pBdr>
      </w:pPr>
    </w:p>
    <w:p>
      <w:pPr>
        <w:spacing w:after="40"/>
        <w:jc w:val="left"/>
      </w:pPr>
      <w:r>
        <w:rPr>
          <w:rFonts w:ascii="Inter" w:hAnsi="Inter"/>
          <w:b/>
          <w:color w:val="737373"/>
          <w:sz w:val="16"/>
          <w:spacing w:val="30"/>
        </w:rPr>
        <w:t>PREPARED BY</w:t>
      </w:r>
    </w:p>
    <w:p>
      <w:pPr>
        <w:spacing w:after="280"/>
        <w:jc w:val="left"/>
      </w:pPr>
      <w:r>
        <w:rPr>
          <w:rFonts w:ascii="Inter" w:hAnsi="Inter"/>
          <w:b/>
          <w:color w:val="1A1A1A"/>
          <w:sz w:val="26"/>
        </w:rPr>
        <w:t>NeuralArc Design</w:t>
      </w:r>
    </w:p>
    <w:p>
      <w:pPr>
        <w:jc w:val="left"/>
      </w:pPr>
      <w:r>
        <w:rPr>
          <w:rFonts w:ascii="Inter" w:hAnsi="Inter"/>
          <w:color w:val="737373"/>
          <w:sz w:val="22"/>
        </w:rPr>
        <w:t>June 2026</w:t>
      </w:r>
    </w:p>
    <w:p>
      <w:r>
        <w:br w:type="page"/>
      </w:r>
    </w:p>
    <w:p>
      <w:pPr>
        <w:pStyle w:val="Heading1"/>
      </w:pPr>
      <w:r>
        <w:t>Brand Overview</w:t>
      </w:r>
    </w:p>
    <w:p>
      <w:r>
        <w:t>NEXUS represents the intersection of clarity and confidence. Our brand identity embodies bold minimalism — a design philosophy that strips away the unnecessary while amplifying what matters most. In a world of visual noise, we choose intention over decoration.</w:t>
      </w:r>
    </w:p>
    <w:p>
      <w:r>
        <w:t>This document provides comprehensive guidelines for using the NEXUS brand across all touchpoints. Following these standards ensures consistency, recognition, and trust.</w:t>
      </w:r>
    </w:p>
    <w:p>
      <w:pPr>
        <w:pStyle w:val="Heading1"/>
      </w:pPr>
      <w:r>
        <w:t>Brand Personality</w:t>
      </w:r>
    </w:p>
    <w:p>
      <w:r>
        <w:t>Our brand is defined by four core attributes that guide every design decision:</w:t>
      </w:r>
    </w:p>
    <w:p>
      <w:pPr>
        <w:pStyle w:val="ListBullet"/>
      </w:pPr>
      <w:r>
        <w:t>Confident — We speak with authority and clarity, never apologizing for our presence</w:t>
      </w:r>
    </w:p>
    <w:p>
      <w:pPr>
        <w:pStyle w:val="ListBullet"/>
      </w:pPr>
      <w:r>
        <w:t>Intentional — Every element serves a purpose; nothing is arbitrary</w:t>
      </w:r>
    </w:p>
    <w:p>
      <w:pPr>
        <w:pStyle w:val="ListBullet"/>
      </w:pPr>
      <w:r>
        <w:t>Modern — We embrace contemporary aesthetics while avoiding fleeting trends</w:t>
      </w:r>
    </w:p>
    <w:p>
      <w:pPr>
        <w:pStyle w:val="ListBullet"/>
      </w:pPr>
      <w:r>
        <w:t>Human — Behind the precision is warmth and approachability</w:t>
      </w:r>
    </w:p>
    <w:p>
      <w:pPr>
        <w:pStyle w:val="Heading1"/>
      </w:pPr>
      <w:r>
        <w:t>Color Palette</w:t>
      </w:r>
    </w:p>
    <w:p>
      <w:r>
        <w:t>Our color system is built on a foundation of deep teal and warm neutrals, reflecting 2026's shift toward bold, grounded palettes that move beyond overused corporate blues.</w:t>
      </w:r>
    </w:p>
    <w:p>
      <w:pPr>
        <w:pStyle w:val="Heading2"/>
      </w:pPr>
      <w:r>
        <w:t>Primary Colors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0d7377"/>
          </w:tcPr>
          <w:p>
            <w:r>
              <w:rPr>
                <w:b/>
                <w:color w:val="FFFFFF"/>
              </w:rPr>
              <w:t>Color Name</w:t>
            </w:r>
          </w:p>
        </w:tc>
        <w:tc>
          <w:tcPr>
            <w:tcW w:type="dxa" w:w="2160"/>
            <w:shd w:fill="0d7377"/>
          </w:tcPr>
          <w:p>
            <w:r>
              <w:rPr>
                <w:b/>
                <w:color w:val="FFFFFF"/>
              </w:rPr>
              <w:t>Hex Code</w:t>
            </w:r>
          </w:p>
        </w:tc>
        <w:tc>
          <w:tcPr>
            <w:tcW w:type="dxa" w:w="2160"/>
            <w:shd w:fill="0d7377"/>
          </w:tcPr>
          <w:p>
            <w:r>
              <w:rPr>
                <w:b/>
                <w:color w:val="FFFFFF"/>
              </w:rPr>
              <w:t>RGB</w:t>
            </w:r>
          </w:p>
        </w:tc>
        <w:tc>
          <w:tcPr>
            <w:tcW w:type="dxa" w:w="2160"/>
            <w:shd w:fill="0d7377"/>
          </w:tcPr>
          <w:p>
            <w:r>
              <w:rPr>
                <w:b/>
                <w:color w:val="FFFFFF"/>
              </w:rPr>
              <w:t>Usage</w:t>
            </w:r>
          </w:p>
        </w:tc>
      </w:tr>
      <w:tr>
        <w:tc>
          <w:tcPr>
            <w:tcW w:type="dxa" w:w="2160"/>
          </w:tcPr>
          <w:p>
            <w:r>
              <w:t>Deep Teal</w:t>
            </w:r>
          </w:p>
        </w:tc>
        <w:tc>
          <w:tcPr>
            <w:tcW w:type="dxa" w:w="2160"/>
          </w:tcPr>
          <w:p>
            <w:r>
              <w:t>#0D7377</w:t>
            </w:r>
          </w:p>
        </w:tc>
        <w:tc>
          <w:tcPr>
            <w:tcW w:type="dxa" w:w="2160"/>
          </w:tcPr>
          <w:p>
            <w:r>
              <w:t>13, 115, 119</w:t>
            </w:r>
          </w:p>
        </w:tc>
        <w:tc>
          <w:tcPr>
            <w:tcW w:type="dxa" w:w="2160"/>
          </w:tcPr>
          <w:p>
            <w:r>
              <w:t>Primary brand color, headers, CTAs</w:t>
            </w:r>
          </w:p>
        </w:tc>
      </w:tr>
      <w:tr>
        <w:tc>
          <w:tcPr>
            <w:tcW w:type="dxa" w:w="2160"/>
          </w:tcPr>
          <w:p>
            <w:r>
              <w:t>Dark Teal</w:t>
            </w:r>
          </w:p>
        </w:tc>
        <w:tc>
          <w:tcPr>
            <w:tcW w:type="dxa" w:w="2160"/>
          </w:tcPr>
          <w:p>
            <w:r>
              <w:t>#0A3A3A</w:t>
            </w:r>
          </w:p>
        </w:tc>
        <w:tc>
          <w:tcPr>
            <w:tcW w:type="dxa" w:w="2160"/>
          </w:tcPr>
          <w:p>
            <w:r>
              <w:t>10, 58, 58</w:t>
            </w:r>
          </w:p>
        </w:tc>
        <w:tc>
          <w:tcPr>
            <w:tcW w:type="dxa" w:w="2160"/>
          </w:tcPr>
          <w:p>
            <w:r>
              <w:t>Depth, contrast, footer backgrounds</w:t>
            </w:r>
          </w:p>
        </w:tc>
      </w:tr>
      <w:tr>
        <w:tc>
          <w:tcPr>
            <w:tcW w:type="dxa" w:w="2160"/>
          </w:tcPr>
          <w:p>
            <w:r>
              <w:t>Accent Teal</w:t>
            </w:r>
          </w:p>
        </w:tc>
        <w:tc>
          <w:tcPr>
            <w:tcW w:type="dxa" w:w="2160"/>
          </w:tcPr>
          <w:p>
            <w:r>
              <w:t>#14A098</w:t>
            </w:r>
          </w:p>
        </w:tc>
        <w:tc>
          <w:tcPr>
            <w:tcW w:type="dxa" w:w="2160"/>
          </w:tcPr>
          <w:p>
            <w:r>
              <w:t>20, 160, 152</w:t>
            </w:r>
          </w:p>
        </w:tc>
        <w:tc>
          <w:tcPr>
            <w:tcW w:type="dxa" w:w="2160"/>
          </w:tcPr>
          <w:p>
            <w:r>
              <w:t>Highlights, hover states, accents</w:t>
            </w:r>
          </w:p>
        </w:tc>
      </w:tr>
    </w:tbl>
    <w:p>
      <w:pPr>
        <w:pStyle w:val="Heading2"/>
      </w:pPr>
      <w:r>
        <w:t>Neutral Colors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0d7377"/>
          </w:tcPr>
          <w:p>
            <w:r>
              <w:rPr>
                <w:b/>
                <w:color w:val="FFFFFF"/>
              </w:rPr>
              <w:t>Color Name</w:t>
            </w:r>
          </w:p>
        </w:tc>
        <w:tc>
          <w:tcPr>
            <w:tcW w:type="dxa" w:w="2880"/>
            <w:shd w:fill="0d7377"/>
          </w:tcPr>
          <w:p>
            <w:r>
              <w:rPr>
                <w:b/>
                <w:color w:val="FFFFFF"/>
              </w:rPr>
              <w:t>Hex Code</w:t>
            </w:r>
          </w:p>
        </w:tc>
        <w:tc>
          <w:tcPr>
            <w:tcW w:type="dxa" w:w="2880"/>
            <w:shd w:fill="0d7377"/>
          </w:tcPr>
          <w:p>
            <w:r>
              <w:rPr>
                <w:b/>
                <w:color w:val="FFFFFF"/>
              </w:rPr>
              <w:t>Usage</w:t>
            </w:r>
          </w:p>
        </w:tc>
      </w:tr>
      <w:tr>
        <w:tc>
          <w:tcPr>
            <w:tcW w:type="dxa" w:w="2880"/>
          </w:tcPr>
          <w:p>
            <w:r>
              <w:t>Off White</w:t>
            </w:r>
          </w:p>
        </w:tc>
        <w:tc>
          <w:tcPr>
            <w:tcW w:type="dxa" w:w="2880"/>
          </w:tcPr>
          <w:p>
            <w:r>
              <w:t>#FAFAFA</w:t>
            </w:r>
          </w:p>
        </w:tc>
        <w:tc>
          <w:tcPr>
            <w:tcW w:type="dxa" w:w="2880"/>
          </w:tcPr>
          <w:p>
            <w:r>
              <w:t>Backgrounds, cards</w:t>
            </w:r>
          </w:p>
        </w:tc>
      </w:tr>
      <w:tr>
        <w:tc>
          <w:tcPr>
            <w:tcW w:type="dxa" w:w="2880"/>
          </w:tcPr>
          <w:p>
            <w:r>
              <w:t>Light Gray</w:t>
            </w:r>
          </w:p>
        </w:tc>
        <w:tc>
          <w:tcPr>
            <w:tcW w:type="dxa" w:w="2880"/>
          </w:tcPr>
          <w:p>
            <w:r>
              <w:t>#E8F5F5</w:t>
            </w:r>
          </w:p>
        </w:tc>
        <w:tc>
          <w:tcPr>
            <w:tcW w:type="dxa" w:w="2880"/>
          </w:tcPr>
          <w:p>
            <w:r>
              <w:t>Subtle backgrounds, dividers</w:t>
            </w:r>
          </w:p>
        </w:tc>
      </w:tr>
      <w:tr>
        <w:tc>
          <w:tcPr>
            <w:tcW w:type="dxa" w:w="2880"/>
          </w:tcPr>
          <w:p>
            <w:r>
              <w:t>Medium Gray</w:t>
            </w:r>
          </w:p>
        </w:tc>
        <w:tc>
          <w:tcPr>
            <w:tcW w:type="dxa" w:w="2880"/>
          </w:tcPr>
          <w:p>
            <w:r>
              <w:t>#4A5568</w:t>
            </w:r>
          </w:p>
        </w:tc>
        <w:tc>
          <w:tcPr>
            <w:tcW w:type="dxa" w:w="2880"/>
          </w:tcPr>
          <w:p>
            <w:r>
              <w:t>Body text, secondary content</w:t>
            </w:r>
          </w:p>
        </w:tc>
      </w:tr>
      <w:tr>
        <w:tc>
          <w:tcPr>
            <w:tcW w:type="dxa" w:w="2880"/>
          </w:tcPr>
          <w:p>
            <w:r>
              <w:t>Charcoal</w:t>
            </w:r>
          </w:p>
        </w:tc>
        <w:tc>
          <w:tcPr>
            <w:tcW w:type="dxa" w:w="2880"/>
          </w:tcPr>
          <w:p>
            <w:r>
              <w:t>#1A202C</w:t>
            </w:r>
          </w:p>
        </w:tc>
        <w:tc>
          <w:tcPr>
            <w:tcW w:type="dxa" w:w="2880"/>
          </w:tcPr>
          <w:p>
            <w:r>
              <w:t>Primary text, headings</w:t>
            </w:r>
          </w:p>
        </w:tc>
      </w:tr>
    </w:tbl>
    <w:p>
      <w:pPr>
        <w:pStyle w:val="Heading1"/>
      </w:pPr>
      <w:r>
        <w:t>Typography System</w:t>
      </w:r>
    </w:p>
    <w:p>
      <w:r>
        <w:t>Typography is the voice of our brand. We use Inter — a modern, highly legible sans-serif that embodies our values of clarity and confidence.</w:t>
      </w:r>
    </w:p>
    <w:p>
      <w:pPr>
        <w:pStyle w:val="Heading2"/>
      </w:pPr>
      <w:r>
        <w:t>Font Hierarchy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d7377"/>
          </w:tcPr>
          <w:p>
            <w:r>
              <w:rPr>
                <w:b/>
                <w:color w:val="FFFFFF"/>
              </w:rPr>
              <w:t>Element</w:t>
            </w:r>
          </w:p>
        </w:tc>
        <w:tc>
          <w:tcPr>
            <w:tcW w:type="dxa" w:w="1728"/>
            <w:shd w:fill="0d7377"/>
          </w:tcPr>
          <w:p>
            <w:r>
              <w:rPr>
                <w:b/>
                <w:color w:val="FFFFFF"/>
              </w:rPr>
              <w:t>Font</w:t>
            </w:r>
          </w:p>
        </w:tc>
        <w:tc>
          <w:tcPr>
            <w:tcW w:type="dxa" w:w="1728"/>
            <w:shd w:fill="0d7377"/>
          </w:tcPr>
          <w:p>
            <w:r>
              <w:rPr>
                <w:b/>
                <w:color w:val="FFFFFF"/>
              </w:rPr>
              <w:t>Weight</w:t>
            </w:r>
          </w:p>
        </w:tc>
        <w:tc>
          <w:tcPr>
            <w:tcW w:type="dxa" w:w="1728"/>
            <w:shd w:fill="0d7377"/>
          </w:tcPr>
          <w:p>
            <w:r>
              <w:rPr>
                <w:b/>
                <w:color w:val="FFFFFF"/>
              </w:rPr>
              <w:t>Size</w:t>
            </w:r>
          </w:p>
        </w:tc>
        <w:tc>
          <w:tcPr>
            <w:tcW w:type="dxa" w:w="1728"/>
            <w:shd w:fill="0d7377"/>
          </w:tcPr>
          <w:p>
            <w:r>
              <w:rPr>
                <w:b/>
                <w:color w:val="FFFFFF"/>
              </w:rPr>
              <w:t>Line Height</w:t>
            </w:r>
          </w:p>
        </w:tc>
      </w:tr>
      <w:tr>
        <w:tc>
          <w:tcPr>
            <w:tcW w:type="dxa" w:w="1728"/>
          </w:tcPr>
          <w:p>
            <w:r>
              <w:t>H1 Headlines</w:t>
            </w:r>
          </w:p>
        </w:tc>
        <w:tc>
          <w:tcPr>
            <w:tcW w:type="dxa" w:w="1728"/>
          </w:tcPr>
          <w:p>
            <w:r>
              <w:t>Inter</w:t>
            </w:r>
          </w:p>
        </w:tc>
        <w:tc>
          <w:tcPr>
            <w:tcW w:type="dxa" w:w="1728"/>
          </w:tcPr>
          <w:p>
            <w:r>
              <w:t>700 (Bold)</w:t>
            </w:r>
          </w:p>
        </w:tc>
        <w:tc>
          <w:tcPr>
            <w:tcW w:type="dxa" w:w="1728"/>
          </w:tcPr>
          <w:p>
            <w:r>
              <w:t>48-72px</w:t>
            </w:r>
          </w:p>
        </w:tc>
        <w:tc>
          <w:tcPr>
            <w:tcW w:type="dxa" w:w="1728"/>
          </w:tcPr>
          <w:p>
            <w:r>
              <w:t>1.1</w:t>
            </w:r>
          </w:p>
        </w:tc>
      </w:tr>
      <w:tr>
        <w:tc>
          <w:tcPr>
            <w:tcW w:type="dxa" w:w="1728"/>
          </w:tcPr>
          <w:p>
            <w:r>
              <w:t>H2 Subheadings</w:t>
            </w:r>
          </w:p>
        </w:tc>
        <w:tc>
          <w:tcPr>
            <w:tcW w:type="dxa" w:w="1728"/>
          </w:tcPr>
          <w:p>
            <w:r>
              <w:t>Inter</w:t>
            </w:r>
          </w:p>
        </w:tc>
        <w:tc>
          <w:tcPr>
            <w:tcW w:type="dxa" w:w="1728"/>
          </w:tcPr>
          <w:p>
            <w:r>
              <w:t>600 (SemiBold)</w:t>
            </w:r>
          </w:p>
        </w:tc>
        <w:tc>
          <w:tcPr>
            <w:tcW w:type="dxa" w:w="1728"/>
          </w:tcPr>
          <w:p>
            <w:r>
              <w:t>32-42px</w:t>
            </w:r>
          </w:p>
        </w:tc>
        <w:tc>
          <w:tcPr>
            <w:tcW w:type="dxa" w:w="1728"/>
          </w:tcPr>
          <w:p>
            <w:r>
              <w:t>1.2</w:t>
            </w:r>
          </w:p>
        </w:tc>
      </w:tr>
      <w:tr>
        <w:tc>
          <w:tcPr>
            <w:tcW w:type="dxa" w:w="1728"/>
          </w:tcPr>
          <w:p>
            <w:r>
              <w:t>H3 Section Titles</w:t>
            </w:r>
          </w:p>
        </w:tc>
        <w:tc>
          <w:tcPr>
            <w:tcW w:type="dxa" w:w="1728"/>
          </w:tcPr>
          <w:p>
            <w:r>
              <w:t>Inter</w:t>
            </w:r>
          </w:p>
        </w:tc>
        <w:tc>
          <w:tcPr>
            <w:tcW w:type="dxa" w:w="1728"/>
          </w:tcPr>
          <w:p>
            <w:r>
              <w:t>600 (SemiBold)</w:t>
            </w:r>
          </w:p>
        </w:tc>
        <w:tc>
          <w:tcPr>
            <w:tcW w:type="dxa" w:w="1728"/>
          </w:tcPr>
          <w:p>
            <w:r>
              <w:t>24px</w:t>
            </w:r>
          </w:p>
        </w:tc>
        <w:tc>
          <w:tcPr>
            <w:tcW w:type="dxa" w:w="1728"/>
          </w:tcPr>
          <w:p>
            <w:r>
              <w:t>1.3</w:t>
            </w:r>
          </w:p>
        </w:tc>
      </w:tr>
      <w:tr>
        <w:tc>
          <w:tcPr>
            <w:tcW w:type="dxa" w:w="1728"/>
          </w:tcPr>
          <w:p>
            <w:r>
              <w:t>Body Text</w:t>
            </w:r>
          </w:p>
        </w:tc>
        <w:tc>
          <w:tcPr>
            <w:tcW w:type="dxa" w:w="1728"/>
          </w:tcPr>
          <w:p>
            <w:r>
              <w:t>Inter</w:t>
            </w:r>
          </w:p>
        </w:tc>
        <w:tc>
          <w:tcPr>
            <w:tcW w:type="dxa" w:w="1728"/>
          </w:tcPr>
          <w:p>
            <w:r>
              <w:t>400 (Regular)</w:t>
            </w:r>
          </w:p>
        </w:tc>
        <w:tc>
          <w:tcPr>
            <w:tcW w:type="dxa" w:w="1728"/>
          </w:tcPr>
          <w:p>
            <w:r>
              <w:t>16-18px</w:t>
            </w:r>
          </w:p>
        </w:tc>
        <w:tc>
          <w:tcPr>
            <w:tcW w:type="dxa" w:w="1728"/>
          </w:tcPr>
          <w:p>
            <w:r>
              <w:t>1.6</w:t>
            </w:r>
          </w:p>
        </w:tc>
      </w:tr>
      <w:tr>
        <w:tc>
          <w:tcPr>
            <w:tcW w:type="dxa" w:w="1728"/>
          </w:tcPr>
          <w:p>
            <w:r>
              <w:t>Captions/Labels</w:t>
            </w:r>
          </w:p>
        </w:tc>
        <w:tc>
          <w:tcPr>
            <w:tcW w:type="dxa" w:w="1728"/>
          </w:tcPr>
          <w:p>
            <w:r>
              <w:t>Inter</w:t>
            </w:r>
          </w:p>
        </w:tc>
        <w:tc>
          <w:tcPr>
            <w:tcW w:type="dxa" w:w="1728"/>
          </w:tcPr>
          <w:p>
            <w:r>
              <w:t>500 (Medium)</w:t>
            </w:r>
          </w:p>
        </w:tc>
        <w:tc>
          <w:tcPr>
            <w:tcW w:type="dxa" w:w="1728"/>
          </w:tcPr>
          <w:p>
            <w:r>
              <w:t>14px</w:t>
            </w:r>
          </w:p>
        </w:tc>
        <w:tc>
          <w:tcPr>
            <w:tcW w:type="dxa" w:w="1728"/>
          </w:tcPr>
          <w:p>
            <w:r>
              <w:t>1.4</w:t>
            </w:r>
          </w:p>
        </w:tc>
      </w:tr>
    </w:tbl>
    <w:p>
      <w:pPr>
        <w:pStyle w:val="Heading1"/>
      </w:pPr>
      <w:r>
        <w:t>Logo System</w:t>
      </w:r>
    </w:p>
    <w:p>
      <w:r>
        <w:t>The NEXUS logo consists of an abstract geometric mark representing upward momentum and connection. The overlapping rounded rectangles form an arrow shape, symbolizing progress and partnership.</w:t>
      </w:r>
    </w:p>
    <w:p>
      <w:pPr>
        <w:pStyle w:val="Heading2"/>
      </w:pPr>
      <w:r>
        <w:t>Logo Variations</w:t>
      </w:r>
    </w:p>
    <w:p>
      <w:pPr>
        <w:pStyle w:val="ListBullet"/>
      </w:pPr>
      <w:r>
        <w:t>Primary Logo — Full color mark with wordmark (logo-wordmark.svg)</w:t>
      </w:r>
    </w:p>
    <w:p>
      <w:pPr>
        <w:pStyle w:val="ListBullet"/>
      </w:pPr>
      <w:r>
        <w:t>Icon Only — Standalone mark for favicons, app icons, avatars (logo.svg)</w:t>
      </w:r>
    </w:p>
    <w:p>
      <w:pPr>
        <w:pStyle w:val="ListBullet"/>
      </w:pPr>
      <w:r>
        <w:t>Monochrome — Single color versions for limited color applications</w:t>
      </w:r>
    </w:p>
    <w:p>
      <w:pPr>
        <w:pStyle w:val="Heading2"/>
      </w:pPr>
      <w:r>
        <w:t>Clear Space &amp; Minimum Size</w:t>
      </w:r>
    </w:p>
    <w:p>
      <w:r>
        <w:t>Maintain clear space around the logo equal to the height of the 'X' in the wordmark. Minimum digital size: 32px height. Minimum print size: 0.5 inches.</w:t>
      </w:r>
    </w:p>
    <w:p>
      <w:pPr>
        <w:pStyle w:val="Heading1"/>
      </w:pPr>
      <w:r>
        <w:t>Social Media Templates</w:t>
      </w:r>
    </w:p>
    <w:p>
      <w:r>
        <w:t>Our social templates are designed for maximum impact while maintaining brand consistency. Each platform has specific dimensions and best practices:</w:t>
      </w:r>
    </w:p>
    <w:p>
      <w:pPr>
        <w:pStyle w:val="Heading2"/>
      </w:pPr>
      <w:r>
        <w:t>Instagram (1080x1080px)</w:t>
      </w:r>
    </w:p>
    <w:p>
      <w:r>
        <w:t>Uses gradient backgrounds with centered content. Ideal for announcements, quotes, and product highlights. Keep text minimal — one headline and one supporting line maximum.</w:t>
      </w:r>
    </w:p>
    <w:p>
      <w:pPr>
        <w:pStyle w:val="Heading2"/>
      </w:pPr>
      <w:r>
        <w:t>LinkedIn (1200x627px)</w:t>
      </w:r>
    </w:p>
    <w:p>
      <w:r>
        <w:t>Split layout with brand panel on left, content on right. Professional tone with clear hierarchy. Include a tag, headline, body text, and CTA.</w:t>
      </w:r>
    </w:p>
    <w:p>
      <w:pPr>
        <w:pStyle w:val="Heading2"/>
      </w:pPr>
      <w:r>
        <w:t>X/Twitter (1200x675px)</w:t>
      </w:r>
    </w:p>
    <w:p>
      <w:r>
        <w:t>Bold single-message format. Large quote-style text with author attribution. Perfect for thought leadership and brand statements.</w:t>
      </w:r>
    </w:p>
    <w:p>
      <w:pPr>
        <w:pStyle w:val="Heading1"/>
      </w:pPr>
      <w:r>
        <w:t>Usage Guidelines</w:t>
      </w:r>
    </w:p>
    <w:p>
      <w:pPr>
        <w:pStyle w:val="Heading2"/>
      </w:pPr>
      <w:r>
        <w:t>Do's</w:t>
      </w:r>
    </w:p>
    <w:p>
      <w:pPr>
        <w:pStyle w:val="ListBullet"/>
      </w:pPr>
      <w:r>
        <w:t>Use the logo with adequate clear space on all sides</w:t>
      </w:r>
    </w:p>
    <w:p>
      <w:pPr>
        <w:pStyle w:val="ListBullet"/>
      </w:pPr>
      <w:r>
        <w:t>Maintain color contrast ratios for accessibility (WCAG AA minimum)</w:t>
      </w:r>
    </w:p>
    <w:p>
      <w:pPr>
        <w:pStyle w:val="ListBullet"/>
      </w:pPr>
      <w:r>
        <w:t>Use Inter font family for all brand communications</w:t>
      </w:r>
    </w:p>
    <w:p>
      <w:pPr>
        <w:pStyle w:val="ListBullet"/>
      </w:pPr>
      <w:r>
        <w:t>Apply the color palette consistently across all materials</w:t>
      </w:r>
    </w:p>
    <w:p>
      <w:pPr>
        <w:pStyle w:val="ListBullet"/>
      </w:pPr>
      <w:r>
        <w:t>Test designs at multiple sizes before finalizing</w:t>
      </w:r>
    </w:p>
    <w:p>
      <w:pPr>
        <w:pStyle w:val="Heading2"/>
      </w:pPr>
      <w:r>
        <w:t>Don'ts</w:t>
      </w:r>
    </w:p>
    <w:p>
      <w:pPr>
        <w:pStyle w:val="ListBullet"/>
      </w:pPr>
      <w:r>
        <w:t>Don't stretch, rotate, or distort the logo</w:t>
      </w:r>
    </w:p>
    <w:p>
      <w:pPr>
        <w:pStyle w:val="ListBullet"/>
      </w:pPr>
      <w:r>
        <w:t>Don't use unapproved colors or create new color combinations</w:t>
      </w:r>
    </w:p>
    <w:p>
      <w:pPr>
        <w:pStyle w:val="ListBullet"/>
      </w:pPr>
      <w:r>
        <w:t>Don't place the logo on busy or low-contrast backgrounds</w:t>
      </w:r>
    </w:p>
    <w:p>
      <w:pPr>
        <w:pStyle w:val="ListBullet"/>
      </w:pPr>
      <w:r>
        <w:t>Don't use decorative fonts or system defaults</w:t>
      </w:r>
    </w:p>
    <w:p>
      <w:pPr>
        <w:pStyle w:val="ListBullet"/>
      </w:pPr>
      <w:r>
        <w:t>Don't overcrowd layouts — embrace white space</w:t>
      </w:r>
    </w:p>
    <w:p>
      <w:pPr>
        <w:pStyle w:val="Heading1"/>
      </w:pPr>
      <w:r>
        <w:t>File Assets</w:t>
      </w:r>
    </w:p>
    <w:p>
      <w:r>
        <w:t>All brand assets are organized in the following structure:</w:t>
      </w:r>
    </w:p>
    <w:p>
      <w:pPr>
        <w:pStyle w:val="ListBullet"/>
      </w:pPr>
      <w:r>
        <w:t>logo.svg — Primary icon mark</w:t>
      </w:r>
    </w:p>
    <w:p>
      <w:pPr>
        <w:pStyle w:val="ListBullet"/>
      </w:pPr>
      <w:r>
        <w:t>logo-wordmark.svg — Full logo with wordmark</w:t>
      </w:r>
    </w:p>
    <w:p>
      <w:pPr>
        <w:pStyle w:val="ListBullet"/>
      </w:pPr>
      <w:r>
        <w:t>social-templates/instagram-post.html — Instagram template</w:t>
      </w:r>
    </w:p>
    <w:p>
      <w:pPr>
        <w:pStyle w:val="ListBullet"/>
      </w:pPr>
      <w:r>
        <w:t>social-templates/linkedin-post.html — LinkedIn template</w:t>
      </w:r>
    </w:p>
    <w:p>
      <w:pPr>
        <w:pStyle w:val="ListBullet"/>
      </w:pPr>
      <w:r>
        <w:t>social-templates/twitter-post.html — X/Twitter template</w:t>
      </w:r>
    </w:p>
    <w:p>
      <w:pPr>
        <w:pStyle w:val="Heading1"/>
      </w:pPr>
      <w:r>
        <w:t>Contact</w:t>
      </w:r>
    </w:p>
    <w:p>
      <w:r>
        <w:t>For questions about brand usage, asset requests, or partnership inquiries, contact the brand team at brand@nexus.com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8"/>
      </w:rPr>
      <w:t xml:space="preserve">Page </w:t>
    </w: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 w:eastAsia="Inter"/>
      <w:color w:val="2020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Inter" w:hAnsi="Inter" w:eastAsia="Inter"/>
      <w:b/>
      <w:bCs/>
      <w:color w:val="0D737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Inter" w:hAnsi="Inter" w:eastAsia="Inter"/>
      <w:b/>
      <w:bCs/>
      <w:color w:val="0D737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Inter" w:hAnsi="Inter" w:eastAsia="Inter"/>
      <w:b/>
      <w:bCs/>
      <w:color w:val="0D7377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Inter" w:hAnsi="Inter" w:eastAsia="Inter"/>
      <w:b/>
      <w:bCs/>
      <w:i/>
      <w:iCs/>
      <w:color w:val="0D7377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Inter" w:hAnsi="Inter" w:eastAsia="Inter"/>
      <w:b/>
      <w:color w:val="0D7377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